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4594" w14:textId="7B4A1827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PAUTA DA 2ª SESSÃO ORDINÁRIA DE 2024</w:t>
      </w:r>
    </w:p>
    <w:p w14:paraId="4F02571F" w14:textId="77777777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41E8CE13" w14:textId="1CBB0D85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 xml:space="preserve">LEITURA DAS MATÉRIAS INSCRITAS NO EXPEDIENTE: </w:t>
      </w:r>
    </w:p>
    <w:p w14:paraId="4DDF4B3E" w14:textId="77777777" w:rsidR="001045BB" w:rsidRPr="001045BB" w:rsidRDefault="001045BB" w:rsidP="001045BB">
      <w:pPr>
        <w:shd w:val="clear" w:color="auto" w:fill="FFFFFF"/>
        <w:spacing w:after="0" w:line="240" w:lineRule="auto"/>
        <w:ind w:left="360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1B3686DF" w14:textId="529485BD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MENSAGEM 059/2023 – autoria do Executivo Municipal – Encaminha veto integral ao Projeto de Lei n° 061/2023, que “autoriza o Poder Executivo a doar cesta básica de alimentação para pescadores artesanais profissionais do Município de Guaíra e dá outras providências.</w:t>
      </w:r>
    </w:p>
    <w:p w14:paraId="4E30C03F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4338823E" w14:textId="3F4C20D4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MENSAGEM 009/2024 – autoria do Executivo Municipal – Encaminha o Projeto de Lei n° 013/2024, que autoriza o Poder Executivo Municipal a conceder transferência financeira, do recurso do Governo Federal, para repasse à Associação Assistencial de Guaíra referente ao Incremento Temporário ao Custeio de Ações dos Serviços Hospitalares e Ambulatoriais – Portaria GM/MS N° 544, de 03 de maio de 2023, no âmbito do Sistema Único de Saúde (SUS), visando dar cumprimento ao disposto na legislação federal Portaria BM/MS N° 2.742, de 26 de dezembro de 2023 e demais legislações vigentes e dá outras providências.</w:t>
      </w:r>
    </w:p>
    <w:p w14:paraId="625E50A8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7F3668D3" w14:textId="57492D0C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MENSAGEM N° 010/2024 – autoria do Executivo Municipal – Encaminha o Projeto de Lei n° 014/2024, que ratifica os atos do Poder Executivo Municipal como associado da Associação dos Municípios do Paraná – AMP e dá outras providências.</w:t>
      </w:r>
    </w:p>
    <w:p w14:paraId="40E5949A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5D893478" w14:textId="288CB8FB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OFÍCIOS DIVERSOS</w:t>
      </w:r>
      <w:r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:</w:t>
      </w:r>
    </w:p>
    <w:p w14:paraId="7A64A1BD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73AEC9C4" w14:textId="0DF4C189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lastRenderedPageBreak/>
        <w:t>INDICAÇÃO N° 005/2024 – autoria da vereadora Karina Bach – Indica ao Executivo Municipal a instalação de um ponto de ônibus adequado na estrada rural de acesso ao Cruzeirinho, especificamente em frente à Fecularia Pilão, a fim de garantir a segurança das crianças que esperam o transporte escolar diariamente naquela região</w:t>
      </w:r>
      <w:r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.</w:t>
      </w:r>
    </w:p>
    <w:p w14:paraId="0BFAB5E8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137F4CCE" w14:textId="0434DF25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 xml:space="preserve">ÚNICA DISCUSSÃO E VOTAÇÃO DA MOÇÃO N° 001/2024 – autoria do vereador </w:t>
      </w:r>
      <w:proofErr w:type="spellStart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Valberto</w:t>
      </w:r>
      <w:proofErr w:type="spellEnd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 xml:space="preserve"> Paixão da Silva em conjunto com os demais vereadores - Manifesta reconhecimento aplausos e congratulações ao 1° TEN. VITOR VOLTOLINI JUNIOR; CB. CARLOS MESSIAS MENEGUCI; CB JOHNE OLIVEIRA COLERAUS; SD JAQUES DOUGLAS SANTANA; SD ALEX GOMES DA SILVA MULLER; SD. MAURICIO NAKASHIMA E SD CASSIO RAFAEL DE OLIVEIRA, policiais do Batalhão de Polícia de Fronteira (</w:t>
      </w:r>
      <w:proofErr w:type="spellStart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BPFron</w:t>
      </w:r>
      <w:proofErr w:type="spellEnd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 xml:space="preserve">) pelo trabalho de resgate de um cidadão </w:t>
      </w:r>
      <w:proofErr w:type="spellStart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guairense</w:t>
      </w:r>
      <w:proofErr w:type="spellEnd"/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, que estava em cárcere privado em área de invasão indígena, na Vila Eletrosul, em 10 de janeiro de 2024.</w:t>
      </w:r>
    </w:p>
    <w:p w14:paraId="304616BC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50ECC1C2" w14:textId="0BE2EC16" w:rsid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ORDEM DO DIA:</w:t>
      </w:r>
    </w:p>
    <w:p w14:paraId="43F2DC74" w14:textId="77777777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25D21E73" w14:textId="2E4F77E9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>2ª DISCUSSÃO E VOTAÇÃO DO PROJETO DE LEI N° 009/2024 – autoria do Executivo Municipal – Autoriza o Poder Executivo a contratar Operação de Crédito com a Caixa Econômica Federal, e dá outras providências.</w:t>
      </w:r>
    </w:p>
    <w:p w14:paraId="6FAE7CF6" w14:textId="77777777" w:rsidR="001045BB" w:rsidRPr="001045BB" w:rsidRDefault="001045BB" w:rsidP="001045BB">
      <w:pPr>
        <w:shd w:val="clear" w:color="auto" w:fill="FFFFFF"/>
        <w:spacing w:after="0" w:line="240" w:lineRule="auto"/>
        <w:ind w:left="360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</w:p>
    <w:p w14:paraId="15CF6C5E" w14:textId="58FE1B4F" w:rsidR="001045BB" w:rsidRPr="001045BB" w:rsidRDefault="001045BB" w:rsidP="001045BB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</w:pP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t xml:space="preserve">2ª DISCUSSÃO E VOTAÇÃO DO PROJETO DE LEI N° 008/2024 – autoria do Executivo Municipal – Autoriza o Poder Executivo a alterar a LOA 2024 (Lei Municipal nº 2.323 de 07/12/2023 e a ajustar as programações </w:t>
      </w:r>
      <w:r w:rsidRPr="001045BB">
        <w:rPr>
          <w:rFonts w:ascii="inherit" w:eastAsia="Times New Roman" w:hAnsi="inherit" w:cs="Segoe UI Historic"/>
          <w:color w:val="050505"/>
          <w:kern w:val="0"/>
          <w:sz w:val="36"/>
          <w:szCs w:val="36"/>
          <w:lang w:eastAsia="pt-BR"/>
          <w14:ligatures w14:val="none"/>
        </w:rPr>
        <w:lastRenderedPageBreak/>
        <w:t>estabelecidas no Plano Plurianual – 2022 a 2025 (Lei Municipal nº 2202 de 09/12/2021) e a Lei de Diretrizes Orçamentárias (Lei Municipal nº 2.321 de 07/12/2023), para criação de dotação para suprir as despesas com Modalidade Produção de Conjuntos Habitacionais para o município de Guaíra, Estado do Paraná, no valor R$ 6.316.050,00 (seis milhões, trezentos e dezesseis mil e cinquenta reais), por Operação de Crédito, conforme art. 43, § 1º, IV da Lei nº 4320/1964.</w:t>
      </w:r>
    </w:p>
    <w:p w14:paraId="516665ED" w14:textId="77777777" w:rsidR="00C21248" w:rsidRPr="001045BB" w:rsidRDefault="00C21248" w:rsidP="001045BB">
      <w:pPr>
        <w:jc w:val="both"/>
        <w:rPr>
          <w:sz w:val="36"/>
          <w:szCs w:val="36"/>
        </w:rPr>
      </w:pPr>
    </w:p>
    <w:sectPr w:rsidR="00C21248" w:rsidRPr="00104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35" type="#_x0000_t75" alt="☑️" style="width:12pt;height:12pt;visibility:visible;mso-wrap-style:square" o:bullet="t">
        <v:imagedata r:id="rId2" o:title="☑️"/>
      </v:shape>
    </w:pict>
  </w:numPicBullet>
  <w:abstractNum w:abstractNumId="0" w15:restartNumberingAfterBreak="0">
    <w:nsid w:val="18B6448A"/>
    <w:multiLevelType w:val="hybridMultilevel"/>
    <w:tmpl w:val="5944EBE6"/>
    <w:lvl w:ilvl="0" w:tplc="9BCA07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C2E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AC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EB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AC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7E61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4F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05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909C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05B5CAB"/>
    <w:multiLevelType w:val="hybridMultilevel"/>
    <w:tmpl w:val="BB64623C"/>
    <w:lvl w:ilvl="0" w:tplc="0E24C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9E0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D69F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C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A46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C42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E625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2E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972323">
    <w:abstractNumId w:val="1"/>
  </w:num>
  <w:num w:numId="2" w16cid:durableId="2146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BB"/>
    <w:rsid w:val="001045BB"/>
    <w:rsid w:val="00A6563C"/>
    <w:rsid w:val="00C2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48E83"/>
  <w15:chartTrackingRefBased/>
  <w15:docId w15:val="{1B4AF9F4-2641-458B-91C7-92F7DFE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045B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3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00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1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0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4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6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2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5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2551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camaradeguairapr@gmail.com</dc:creator>
  <cp:keywords/>
  <dc:description/>
  <cp:lastModifiedBy>camaradeguairapr@gmail.com</cp:lastModifiedBy>
  <cp:revision>1</cp:revision>
  <dcterms:created xsi:type="dcterms:W3CDTF">2024-02-26T12:36:00Z</dcterms:created>
  <dcterms:modified xsi:type="dcterms:W3CDTF">2024-02-26T12:38:00Z</dcterms:modified>
</cp:coreProperties>
</file>